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марта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«Ремонт и строительство сетей «ПР и СС»</w:t>
      </w:r>
      <w:r w:rsidR="00B9210B" w:rsidRPr="00241327">
        <w:rPr>
          <w:sz w:val="22"/>
          <w:szCs w:val="22"/>
          <w:lang w:val="en-US"/>
        </w:rPr>
        <w:t xml:space="preserve"> (ОГРН 1194704009884,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4725006039)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«Ремонт и строительство сетей «ПР и СС»</w:t>
      </w:r>
      <w:r w:rsidRPr="00496A50">
        <w:rPr>
          <w:sz w:val="22"/>
          <w:szCs w:val="22"/>
        </w:rPr>
        <w:t xml:space="preserve"> (ОГРН 1194704009884,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4725006039)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«Ремонт и строительство сетей «ПР и СС»</w:t>
      </w:r>
      <w:r w:rsidRPr="00823293">
        <w:rPr>
          <w:sz w:val="22"/>
          <w:szCs w:val="22"/>
        </w:rPr>
        <w:t xml:space="preserve"> (ОГРН 1194704009884, ИНН 4725006039)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марта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