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Закрытое акционерное общество Объединение «Комплексная автоматизация»</w:t>
      </w:r>
      <w:r w:rsidR="00B9210B" w:rsidRPr="00241327">
        <w:rPr>
          <w:sz w:val="22"/>
          <w:szCs w:val="22"/>
          <w:lang w:val="en-US"/>
        </w:rPr>
        <w:t xml:space="preserve"> (ОГРН 1047855153378,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7838310691)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496A50">
        <w:rPr>
          <w:sz w:val="22"/>
          <w:szCs w:val="22"/>
        </w:rPr>
        <w:t xml:space="preserve"> (ОГРН 1047855153378,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7838310691)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823293">
        <w:rPr>
          <w:sz w:val="22"/>
          <w:szCs w:val="22"/>
        </w:rPr>
        <w:t xml:space="preserve"> (ОГРН 1047855153378, ИНН 7838310691)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