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«Образец»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1112224002868,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2224146095)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«БАЛТМОНТАЖ - XXI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1037843102857,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7825427526)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«Норма»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1042201922355,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2221065144)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«Финансово-строительная компания Омега»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1052202168138,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2224092234)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09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