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60/2010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сентября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«Алтайская Региональная Экспертная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1092224002463,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2224132984)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«АРхиЯ»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1102225001328,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2221177842)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«ПожТехСервис»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1056154010021,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6154094842)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«ИНВАР»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1063459056165,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3442087596)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«ОСС-КОМ»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1063905080348,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3904080460)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Строительно-Торговая Компания «Стройсити»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1075405029952,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5405360240)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«Проект-Технология»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1079847107383,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7804377144)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08 сентября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