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х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013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778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Производственная Компания «ИнтерПр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10076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078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Спец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39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238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ирма «Авт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24599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10211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