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казенное учреждение «Управление муниципального хозяйства»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1063458003300,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3426011293)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«СтройМонтаж 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1079847051558,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7806353244)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«Стандарт-Строй»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1077847015971,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7841354233)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1089847225016,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7804392199)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«ПЕТРОСТРОЙ»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1047855051221,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7807301104)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«АВС-КЛИМАТ»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5067847542109,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7810079837)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