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1085407000931,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5407046022)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1077847176406,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7810093493)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1022200706714,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2205005846)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5067847426158,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7810075536)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