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Полипл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500006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60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нкт-Петербургский центр технического обслуживания изделий медицинской техники «Сентяб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0229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0891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42120011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1202715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СУ-55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40026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771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Фаса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550010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74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етопол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8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7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15004500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24771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3005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30896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НОВОСИБИРСК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87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7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