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38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5135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01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ЭР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7003344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7211094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исте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117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091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