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«СпецПроектСервис»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1085543007109,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5505201501)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«АКВАНОРД»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1107847280749,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7810598960)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1067847745437,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7805394181)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1041000037286,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1001158105)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