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«СУ-12 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1022201516941,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2224007084)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«Институт экономики города и управления инвестициями в строительстве»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1073905012631,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3904087184)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