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«Производственно-строительно-монтажное предприятие «Дедал»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1062223012169,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2223053930)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«ПРЕДПРИЯТИЕ ТЕПЛОСТРОЙ»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1027739714540,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7707063745)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«Отре-КС»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1089847377003,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7804400474)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«Промагрегат»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1066150005460,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6150046870)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С-061-6150046870-18062010-675/3,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«Промагрегат»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1066150005460,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6150046870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«РОНДО»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1063915012920,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3915451621)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С-039-3915451621-11082010-692/1,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«РОНДО»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1063915012920,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3915451621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«МОНОЛИТ»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1107847156889,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7802714316)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С-098-7802714316-20092010-725/2,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«МОНОЛИТ»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1107847156889,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7802714316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«Агроремстрой»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1040822200198,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0808919170)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С-008-0808919170-20082010-706/1,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«Агроремстрой»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1040822200198,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0808919170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Закрытым акционерным обществом «Метаполис»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1037843075258,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7825507355)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С-098-7825507355-22122010-764/2,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Закрытое акционерное общество «Метаполис»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1037843075258,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7825507355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«Машиностроитель М»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1093459000095,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3442102653)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С-034-3442102653-26012011-776/1,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«Машиностроитель М»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1093459000095,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3442102653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