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«Юг-Стройпроект»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1076150005832,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6150050724)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«ПРОФИ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1077847350041,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7814372346)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«ЭКСПОСТРОЙ»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1037800092670,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7801239403)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«СтройМастер»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1097847171091,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7816466790)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С-098-7816466790-25112009-003/4,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«СтройМастер»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1097847171091,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7816466790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«Водоканал Воронежа»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1033600002215,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3665034781)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С-036-3665034781-10092010-719/1,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Муниципальное унитарное предприятие города Воронежа «Водоканал Воронежа»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1033600002215,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3665034781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«ВИСТ»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1057812930163,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7810043630)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С-098-7810043630-14042010-518/2,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«ВИСТ»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1057812930163,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7810043630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«СТЕЛКОМ21»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1094705003690,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4705047534)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С-047-4705047534-21122009-056/2,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«СТЕЛКОМ21»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1094705003690,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4705047534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«САЙГОН»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1077847323949,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7811372531)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С-098-7811372531-30112009-005/3,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«САЙГОН»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1077847323949,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7811372531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