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«Вентиляционные Инженерные Системы»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1089847032626,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7839374433)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«ЮгАвтоСтрой»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1123458000412,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3426014544)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Грачева Валерия Геннадьевича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307615004500020,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615002477111)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«Технострой 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1123926070641,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3906279660)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«Северо-Западная Строительная Компания «Терра»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5067847541834,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7802372052)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НПФ «ТЕЗАУРУС»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1081831010689,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1831130924)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«ПФ-Комплекс»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1037811001150,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7805199430)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17.12.2012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