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«СоюзПетроСервис»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1047839012869,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7840014890)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«Ишимагрострой»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1027201238899,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7217000390)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«Газстрой-Запад»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1023900769023,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3905037370)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«Энергостройкомплекс»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1095543035170,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5504215396)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«СПК Аква-Вива»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1077847232605,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7804359963)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«МИКАР»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1027200883027,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7204052063)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«ИТ Сети»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5067847575714,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7838368758)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«ПромСтройПроект»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1097847129973,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7842408273)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«Енисей»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1025202195941,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5254022399)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2.10.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Научно-производственная строительная компания «СКИП»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1075405001418,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5405335565)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«Гидротехнический 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1097232034680,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7204149516)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