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лоор систем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96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224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инансово-строительный 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74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74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лизе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53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214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421458-31032010-46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лизе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53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214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Моду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589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934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393430-04022011-77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Моду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589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934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лтайКап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20032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27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72793-15022010-32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лтайКап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20032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27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ТехСтрой - 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9001605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803247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8032475-02042010-48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ТехСтрой - Плю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39001605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803247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До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170020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333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033362-26032010-45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До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170020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0333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0411000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4892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11148927-22032010-43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0411000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4892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 ПЕТЕРБУР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237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129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11297-19032010-43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 ПЕТЕРБУР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237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129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30003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1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2198-15032010-402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30003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1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ласт-Ю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646002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240309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6-2624030930-21012010-151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ласт-Ю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646002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240309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