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1072222001433,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2222063083)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«ДЕФТ»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1089848046860,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7802453520)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«Железногорское управление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1032401227264,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2452027971)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«Ротонда»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1077847012561,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7813368900)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1083925012786,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3904601515)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1057812514143,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1089847051392,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7810505179)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«СтройСила»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1022300642088,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2302044544)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«Проектно-Строительная Компания ВИГ»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1089847205579,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7842385548)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1089847113135,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7811401655)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«Вентиляционные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1089847032626,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7839374433)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«Полет и 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1056758426372,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6729032192)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«Арбат. Инженерные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1073905007692,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3905081675)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«СТРОЙБАЗА»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1089847162085,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7816440305)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«Аверс-Строй»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1076673016947,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6673166321)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«Новые Технологии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5067847486328,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7811357519)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1047796098130,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7706524320)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«Объединенная Промышленная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1097847151324,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7811437531)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1069847551421,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7814361520)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«Лада»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1102225000701,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«Алтайгазаппарат»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1022201518019,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2224073168)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