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21/2010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апреля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Индивидуального предпринимателя Мурджикнели Генади Владимировича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ОГРНИП 308667201000016,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667220383878)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«ВотерПрайсИнвест»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1057811584610,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7810033046)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«Генподрядное Управление ПСТ»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1077847588675,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7841370179)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«РосЭлектроСтрой»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1086027009034,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6027118233)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«Музейные технологии»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1037832002966,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7814068709)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«Музейное оборудование и 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1067847172623,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7814335859)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ПСК «Монолит»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1095406035845,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5406551086)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«Стройком»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1092223005819,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2223971507)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«ТЭС»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1095401012464,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5401332570)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«Востокспецавтоматика»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1025401018290,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5402141723)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«Ай Пи Центр»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1107847045261,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7813465069)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«ПФ-Комплекс»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1037811001150,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7805199430)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НПФ «ТЕЗАУРУС»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1081831010689,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1831130924)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Фирма «Ремстроймонтаж»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1089848031900,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7810535991)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«Строительно-производственное объединение СФЕРА»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1107847026143,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7839418024)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«Электросельхозпроммонтаж»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1093459006046,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3442106922)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«ПОДРЯД»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1055404158050,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5404258100)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Производственная компания «САЛЮТ»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1105405002889,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5405408478)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«МонтажТехСтрой - Плюс»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1053900160555,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3908032475)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«Технология»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1076143000010,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6143064412)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«Колизей»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1073906028789,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3906180069)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«Феникс»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1105405001448,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5405407570)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«РегионСпецСтрой»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1089848039412,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7814423840)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«Енисей»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1025202195941,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5254022399)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«АНИС»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1089847308440,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7841392430)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02 апреля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