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1133435000995,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3435303197)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«Стройсервисцентр»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1049923001358,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9901006558)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«Усть-Коксинское дорожное ремонтно-строительное предприятие»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1060404009412,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0406004849)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1117847240301,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7802753604)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«Электромашина»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1069847551421,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7814361520)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22.05.2013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