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«АКВАНОРД»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1107847280749,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7810598960)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1027809197184,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7825379978)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