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«Инжиниринговая компания Гемини»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1105476006129,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5401336261)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«ЛЭРС-Проект»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1032700334435,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2721109488)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1085190015668,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5190193798)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Копычины-Лоренса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1026002344235,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6018002377)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