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ГК-РЕСТАВР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06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03007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Люкс-7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0714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45287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8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мплектДА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61830031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796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7968-13042012-89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омплектДА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61830031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796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ад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635006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351338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6-2635133896-25052011-831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рад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635006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351338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Объединенная Строительная Корпорация С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7467359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66107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36610745-30092010-73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Объединенная Строительная Корпорация С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7467359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66107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овый горо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1594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560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8-7810556046-06082010-68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овый горо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1594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560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нтажно-Строительное Управление №7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602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33108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3310859-13082010-69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нтажно-Строительное Управление №7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602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33108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льтСтройТу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7489172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153377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31533776-18082010-69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льтСтройТу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77489172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153377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