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1133443018125,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3443922835)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 - СК»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1113443009756,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3443112936)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28.03.2014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«Донпроектэлектро»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1026102223740,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6150010680)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27.03.2014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