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«ТТДВ»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1112536016834,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2536247229)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С-025-2536247229-15032010-401/6,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«ТТДВ»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1112536016834,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2536247229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«ВиРА»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1089847029502,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7804381126)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С-098-7804381126-04032010-374/3,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«ВиРА»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1089847029502,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7804381126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«СтройЭнерго»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1046002001385,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6037000784)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С-060-6037000784-17032010-413/3,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«СтройЭнерго»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1046002001385,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6037000784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«Контур»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1077203027637,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7204110100)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С-072-7204110100-10032010-388/4,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«Контур»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1077203027637,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7204110100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«ПРОМРЕСУРС»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1079847060292,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7810087651)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С-098-7810087651-16042010-527/4,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«ПРОМРЕСУРС»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1079847060292,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7810087651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Фирма «Ремстроймонтаж»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1089848031900,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7810535991)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С-098-7810535991-02042010-472/3,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Фирма «Ремстроймонтаж»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1089848031900,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7810535991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«УралСтройМонтаж»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1069659054410,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6659141773)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С-066-6659141773-16042010-520/3,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«УралСтройМонтаж»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1069659054410,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6659141773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«Феникс»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1105405001448,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5405407570)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С-054-5405407570-02042010-474/4,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«Феникс»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1105405001448,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5405407570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«УралМонтажРемонт»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1106659000491,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6659199614)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С-066-6659199614-26032010-453/3,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«УралМонтажРемонт»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1106659000491,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6659199614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«Алтайводстрой»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1072223002390,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2223058015)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С-022-2223058015-10032010-387/6,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2.10.2.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«Алтайводстрой»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1072223002390,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2223058015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«Стройтехнология»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1085407000931,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5407046022)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С-054-5407046022-10032010-386/3,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«Стройтехнология»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1085407000931,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5407046022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«ИС-Строй»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1065401100709,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5401276460)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С-054-5401276460-31032010-461/3,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«ИС-Строй»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1065401100709,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5401276460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«А2»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1096672020906,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6672307932)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С-066-6672307932-01022010-229/3,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«А2»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1096672020906,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6672307932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